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2D" w:rsidRDefault="0056212D" w:rsidP="0056212D">
      <w:pPr>
        <w:pStyle w:val="41"/>
        <w:shd w:val="clear" w:color="auto" w:fill="auto"/>
        <w:spacing w:line="240" w:lineRule="auto"/>
        <w:ind w:right="20" w:firstLine="680"/>
        <w:jc w:val="center"/>
        <w:rPr>
          <w:rStyle w:val="1"/>
          <w:b/>
          <w:sz w:val="28"/>
          <w:szCs w:val="28"/>
        </w:rPr>
      </w:pPr>
      <w:r w:rsidRPr="0056212D">
        <w:rPr>
          <w:rStyle w:val="1"/>
          <w:b/>
          <w:sz w:val="28"/>
          <w:szCs w:val="28"/>
        </w:rPr>
        <w:t>Меры по охране конфиденциальности информации,</w:t>
      </w:r>
    </w:p>
    <w:p w:rsidR="0056212D" w:rsidRDefault="0056212D" w:rsidP="0056212D">
      <w:pPr>
        <w:pStyle w:val="41"/>
        <w:shd w:val="clear" w:color="auto" w:fill="auto"/>
        <w:spacing w:line="240" w:lineRule="auto"/>
        <w:ind w:right="20" w:firstLine="680"/>
        <w:jc w:val="center"/>
        <w:rPr>
          <w:rStyle w:val="1"/>
          <w:b/>
          <w:sz w:val="28"/>
          <w:szCs w:val="28"/>
        </w:rPr>
      </w:pPr>
      <w:r w:rsidRPr="0056212D">
        <w:rPr>
          <w:rStyle w:val="1"/>
          <w:b/>
          <w:sz w:val="28"/>
          <w:szCs w:val="28"/>
        </w:rPr>
        <w:t>составляющей коммерческую тайну</w:t>
      </w:r>
    </w:p>
    <w:p w:rsidR="0056212D" w:rsidRPr="0056212D" w:rsidRDefault="0056212D" w:rsidP="0056212D">
      <w:pPr>
        <w:pStyle w:val="41"/>
        <w:shd w:val="clear" w:color="auto" w:fill="auto"/>
        <w:spacing w:line="240" w:lineRule="auto"/>
        <w:ind w:right="20" w:firstLine="680"/>
        <w:jc w:val="center"/>
        <w:rPr>
          <w:rStyle w:val="1"/>
          <w:b/>
          <w:sz w:val="28"/>
          <w:szCs w:val="28"/>
        </w:rPr>
      </w:pPr>
    </w:p>
    <w:p w:rsidR="00E8395B" w:rsidRDefault="0056212D" w:rsidP="0056212D">
      <w:pPr>
        <w:pStyle w:val="41"/>
        <w:shd w:val="clear" w:color="auto" w:fill="auto"/>
        <w:spacing w:line="240" w:lineRule="auto"/>
        <w:ind w:right="20" w:firstLine="680"/>
        <w:jc w:val="both"/>
        <w:rPr>
          <w:rStyle w:val="1"/>
          <w:b/>
        </w:rPr>
      </w:pPr>
      <w:r>
        <w:rPr>
          <w:rStyle w:val="1"/>
          <w:b/>
          <w:sz w:val="24"/>
          <w:szCs w:val="24"/>
        </w:rPr>
        <w:t xml:space="preserve">Кратко из  </w:t>
      </w:r>
      <w:r w:rsidR="00E8395B" w:rsidRPr="00E8395B">
        <w:rPr>
          <w:b/>
        </w:rPr>
        <w:t>«Положени</w:t>
      </w:r>
      <w:r>
        <w:rPr>
          <w:b/>
        </w:rPr>
        <w:t>я</w:t>
      </w:r>
      <w:r w:rsidR="00E8395B" w:rsidRPr="00E8395B">
        <w:rPr>
          <w:b/>
        </w:rPr>
        <w:t xml:space="preserve"> о регистрации и охране конфиденциальности информации об объектах интеллектуальной собственности, отнесенных к категории «секретов производства» (ноу-хау)» от 28 октября 2010 г.  Одобрено р</w:t>
      </w:r>
      <w:r w:rsidR="00E8395B" w:rsidRPr="00E8395B">
        <w:rPr>
          <w:rStyle w:val="1"/>
          <w:b/>
        </w:rPr>
        <w:t>ешением Ученого совета университета от 27 октября 2010 г. Протокол № 2 и Утверждено приказом Ректора.</w:t>
      </w:r>
    </w:p>
    <w:p w:rsidR="00E8395B" w:rsidRPr="00E8395B" w:rsidRDefault="00E8395B" w:rsidP="00E8395B">
      <w:pPr>
        <w:pStyle w:val="41"/>
        <w:shd w:val="clear" w:color="auto" w:fill="auto"/>
        <w:spacing w:line="322" w:lineRule="exact"/>
        <w:ind w:right="200" w:firstLine="0"/>
        <w:jc w:val="center"/>
        <w:rPr>
          <w:b/>
        </w:rPr>
      </w:pPr>
    </w:p>
    <w:p w:rsidR="009F38E8" w:rsidRPr="009F38E8" w:rsidRDefault="009F38E8" w:rsidP="009F38E8">
      <w:pPr>
        <w:pStyle w:val="41"/>
        <w:shd w:val="clear" w:color="auto" w:fill="auto"/>
        <w:spacing w:line="240" w:lineRule="auto"/>
        <w:ind w:right="20" w:firstLine="680"/>
        <w:jc w:val="both"/>
        <w:rPr>
          <w:sz w:val="24"/>
          <w:szCs w:val="24"/>
        </w:rPr>
      </w:pPr>
      <w:r w:rsidRPr="009F38E8">
        <w:rPr>
          <w:rStyle w:val="1"/>
          <w:sz w:val="24"/>
          <w:szCs w:val="24"/>
        </w:rPr>
        <w:t>принимаемые ее обладателем (университетом), должны включать в себя:</w:t>
      </w:r>
    </w:p>
    <w:p w:rsidR="009F38E8" w:rsidRPr="009F38E8" w:rsidRDefault="009F38E8" w:rsidP="009F38E8">
      <w:pPr>
        <w:pStyle w:val="41"/>
        <w:numPr>
          <w:ilvl w:val="0"/>
          <w:numId w:val="3"/>
        </w:numPr>
        <w:shd w:val="clear" w:color="auto" w:fill="auto"/>
        <w:tabs>
          <w:tab w:val="left" w:pos="1315"/>
        </w:tabs>
        <w:spacing w:line="240" w:lineRule="auto"/>
        <w:ind w:right="20" w:firstLine="680"/>
        <w:jc w:val="both"/>
        <w:rPr>
          <w:sz w:val="24"/>
          <w:szCs w:val="24"/>
        </w:rPr>
      </w:pPr>
      <w:r w:rsidRPr="009F38E8">
        <w:rPr>
          <w:rStyle w:val="1"/>
          <w:sz w:val="24"/>
          <w:szCs w:val="24"/>
        </w:rPr>
        <w:t>Определение перечня информации, составляющей коммерческую тайну.</w:t>
      </w:r>
    </w:p>
    <w:p w:rsidR="009F38E8" w:rsidRPr="009F38E8" w:rsidRDefault="009F38E8" w:rsidP="009F38E8">
      <w:pPr>
        <w:pStyle w:val="41"/>
        <w:numPr>
          <w:ilvl w:val="0"/>
          <w:numId w:val="3"/>
        </w:numPr>
        <w:shd w:val="clear" w:color="auto" w:fill="auto"/>
        <w:tabs>
          <w:tab w:val="left" w:pos="1435"/>
        </w:tabs>
        <w:spacing w:line="240" w:lineRule="auto"/>
        <w:ind w:right="20" w:firstLine="680"/>
        <w:jc w:val="both"/>
        <w:rPr>
          <w:sz w:val="24"/>
          <w:szCs w:val="24"/>
        </w:rPr>
      </w:pPr>
      <w:r w:rsidRPr="009F38E8">
        <w:rPr>
          <w:rStyle w:val="1"/>
          <w:sz w:val="24"/>
          <w:szCs w:val="24"/>
        </w:rPr>
        <w:t>Определение места хранения документации с реквизитами «Коммерческая тайна», места работы с данной документацией, порядок регистрации и режим доступа к этой документации.</w:t>
      </w:r>
    </w:p>
    <w:p w:rsidR="009F38E8" w:rsidRPr="009F38E8" w:rsidRDefault="009F38E8" w:rsidP="009F38E8">
      <w:pPr>
        <w:pStyle w:val="41"/>
        <w:numPr>
          <w:ilvl w:val="0"/>
          <w:numId w:val="3"/>
        </w:numPr>
        <w:shd w:val="clear" w:color="auto" w:fill="auto"/>
        <w:tabs>
          <w:tab w:val="left" w:pos="1267"/>
        </w:tabs>
        <w:spacing w:line="240" w:lineRule="auto"/>
        <w:ind w:right="20" w:firstLine="680"/>
        <w:jc w:val="both"/>
        <w:rPr>
          <w:sz w:val="24"/>
          <w:szCs w:val="24"/>
        </w:rPr>
      </w:pPr>
      <w:r w:rsidRPr="009F38E8">
        <w:rPr>
          <w:rStyle w:val="1"/>
          <w:sz w:val="24"/>
          <w:szCs w:val="24"/>
        </w:rPr>
        <w:t xml:space="preserve">Ограничение доступа к информации, составляющей коммерческую тайну, путем установления порядка обращения с этой информацией и </w:t>
      </w:r>
      <w:proofErr w:type="gramStart"/>
      <w:r w:rsidRPr="009F38E8">
        <w:rPr>
          <w:rStyle w:val="1"/>
          <w:sz w:val="24"/>
          <w:szCs w:val="24"/>
        </w:rPr>
        <w:t>контроля за</w:t>
      </w:r>
      <w:proofErr w:type="gramEnd"/>
      <w:r w:rsidRPr="009F38E8">
        <w:rPr>
          <w:rStyle w:val="1"/>
          <w:sz w:val="24"/>
          <w:szCs w:val="24"/>
        </w:rPr>
        <w:t xml:space="preserve"> соблюдением такого порядка.</w:t>
      </w:r>
    </w:p>
    <w:p w:rsidR="009F38E8" w:rsidRPr="009F38E8" w:rsidRDefault="009F38E8" w:rsidP="009F38E8">
      <w:pPr>
        <w:pStyle w:val="41"/>
        <w:numPr>
          <w:ilvl w:val="0"/>
          <w:numId w:val="3"/>
        </w:numPr>
        <w:shd w:val="clear" w:color="auto" w:fill="auto"/>
        <w:tabs>
          <w:tab w:val="left" w:pos="1363"/>
        </w:tabs>
        <w:spacing w:line="240" w:lineRule="auto"/>
        <w:ind w:right="20" w:firstLine="680"/>
        <w:jc w:val="both"/>
        <w:rPr>
          <w:sz w:val="24"/>
          <w:szCs w:val="24"/>
        </w:rPr>
      </w:pPr>
      <w:r w:rsidRPr="009F38E8">
        <w:rPr>
          <w:rStyle w:val="1"/>
          <w:sz w:val="24"/>
          <w:szCs w:val="24"/>
        </w:rPr>
        <w:t>Учет лиц, получивших доступ к информации, составляющей коммерческую тайну и (или) лиц, которым такая информация была представлена или передана.</w:t>
      </w:r>
    </w:p>
    <w:p w:rsidR="009F38E8" w:rsidRPr="009F38E8" w:rsidRDefault="009F38E8" w:rsidP="009F38E8">
      <w:pPr>
        <w:pStyle w:val="41"/>
        <w:numPr>
          <w:ilvl w:val="0"/>
          <w:numId w:val="3"/>
        </w:numPr>
        <w:shd w:val="clear" w:color="auto" w:fill="auto"/>
        <w:tabs>
          <w:tab w:val="left" w:pos="1464"/>
        </w:tabs>
        <w:spacing w:line="240" w:lineRule="auto"/>
        <w:ind w:right="20" w:firstLine="680"/>
        <w:jc w:val="both"/>
        <w:rPr>
          <w:sz w:val="24"/>
          <w:szCs w:val="24"/>
        </w:rPr>
      </w:pPr>
      <w:r w:rsidRPr="009F38E8">
        <w:rPr>
          <w:rStyle w:val="1"/>
          <w:sz w:val="24"/>
          <w:szCs w:val="24"/>
        </w:rPr>
        <w:t>Регулирование отношений по использованию работниками информации, составляющей коммерческую тайну, на основании трудовых договоров и контрагентами на основании договоров гражданско-правового характера.</w:t>
      </w:r>
    </w:p>
    <w:p w:rsidR="009F38E8" w:rsidRPr="009F38E8" w:rsidRDefault="009F38E8" w:rsidP="009F38E8">
      <w:pPr>
        <w:pStyle w:val="41"/>
        <w:numPr>
          <w:ilvl w:val="0"/>
          <w:numId w:val="3"/>
        </w:numPr>
        <w:shd w:val="clear" w:color="auto" w:fill="auto"/>
        <w:tabs>
          <w:tab w:val="left" w:pos="1243"/>
        </w:tabs>
        <w:spacing w:line="240" w:lineRule="auto"/>
        <w:ind w:right="20" w:firstLine="680"/>
        <w:jc w:val="both"/>
        <w:rPr>
          <w:sz w:val="24"/>
          <w:szCs w:val="24"/>
        </w:rPr>
      </w:pPr>
      <w:r w:rsidRPr="009F38E8">
        <w:rPr>
          <w:rStyle w:val="1"/>
          <w:sz w:val="24"/>
          <w:szCs w:val="24"/>
        </w:rPr>
        <w:t>Нанесение на комплект документов в бумажном виде, содержащий информацию, составляющую коммерческую тайну, грифа «Коммерческая тайна» с указанием обладателя информации. Введение пароля для доступа с информации в электронном виде, составляющую коммерческую тайну, находящейся на носителе электронной информации.</w:t>
      </w:r>
    </w:p>
    <w:p w:rsidR="009F38E8" w:rsidRPr="009F38E8" w:rsidRDefault="009F38E8" w:rsidP="009F38E8">
      <w:pPr>
        <w:pStyle w:val="41"/>
        <w:numPr>
          <w:ilvl w:val="0"/>
          <w:numId w:val="3"/>
        </w:numPr>
        <w:shd w:val="clear" w:color="auto" w:fill="auto"/>
        <w:tabs>
          <w:tab w:val="left" w:pos="1272"/>
        </w:tabs>
        <w:spacing w:line="240" w:lineRule="auto"/>
        <w:ind w:right="20" w:firstLine="680"/>
        <w:jc w:val="both"/>
        <w:rPr>
          <w:sz w:val="24"/>
          <w:szCs w:val="24"/>
        </w:rPr>
      </w:pPr>
      <w:r w:rsidRPr="009F38E8">
        <w:rPr>
          <w:rStyle w:val="1"/>
          <w:sz w:val="24"/>
          <w:szCs w:val="24"/>
        </w:rPr>
        <w:t>В целях охраны конфиденциальности информации, составляющей коммерческую тайну, работник университета обязан:</w:t>
      </w:r>
    </w:p>
    <w:p w:rsidR="009F38E8" w:rsidRPr="009F38E8" w:rsidRDefault="009F38E8" w:rsidP="009F38E8">
      <w:pPr>
        <w:pStyle w:val="41"/>
        <w:shd w:val="clear" w:color="auto" w:fill="auto"/>
        <w:spacing w:line="240" w:lineRule="auto"/>
        <w:ind w:firstLine="1000"/>
        <w:jc w:val="both"/>
        <w:rPr>
          <w:sz w:val="24"/>
          <w:szCs w:val="24"/>
        </w:rPr>
      </w:pPr>
      <w:r w:rsidRPr="009F38E8">
        <w:rPr>
          <w:rStyle w:val="1"/>
          <w:sz w:val="24"/>
          <w:szCs w:val="24"/>
        </w:rPr>
        <w:t>выполнять установленный университетом режим коммерческой тайны;</w:t>
      </w:r>
    </w:p>
    <w:p w:rsidR="009F38E8" w:rsidRPr="009F38E8" w:rsidRDefault="009F38E8" w:rsidP="009F38E8">
      <w:pPr>
        <w:pStyle w:val="41"/>
        <w:shd w:val="clear" w:color="auto" w:fill="auto"/>
        <w:spacing w:line="240" w:lineRule="auto"/>
        <w:ind w:right="20" w:firstLine="1000"/>
        <w:jc w:val="both"/>
        <w:rPr>
          <w:sz w:val="24"/>
          <w:szCs w:val="24"/>
        </w:rPr>
      </w:pPr>
      <w:r w:rsidRPr="009F38E8">
        <w:rPr>
          <w:rStyle w:val="1"/>
          <w:sz w:val="24"/>
          <w:szCs w:val="24"/>
        </w:rPr>
        <w:t>не разглашать информацию, составляющую коммерческую тайну, обладателем которой является университет и его контрагенты, и без их согласия не использовать эту информацию в личных целях;</w:t>
      </w:r>
    </w:p>
    <w:p w:rsidR="009F38E8" w:rsidRPr="009F38E8" w:rsidRDefault="009F38E8" w:rsidP="009F38E8">
      <w:pPr>
        <w:pStyle w:val="41"/>
        <w:shd w:val="clear" w:color="auto" w:fill="auto"/>
        <w:spacing w:line="240" w:lineRule="auto"/>
        <w:ind w:right="20" w:firstLine="680"/>
        <w:jc w:val="both"/>
        <w:rPr>
          <w:sz w:val="24"/>
          <w:szCs w:val="24"/>
        </w:rPr>
      </w:pPr>
      <w:r w:rsidRPr="009F38E8">
        <w:rPr>
          <w:rStyle w:val="1"/>
          <w:sz w:val="24"/>
          <w:szCs w:val="24"/>
        </w:rPr>
        <w:t>- не разглашать информацию, составляющую коммерческую тайну, обладателями которой является университет и его контрагенты, до прекращения действия исключительного права на секрет производства.</w:t>
      </w:r>
    </w:p>
    <w:p w:rsidR="009F38E8" w:rsidRPr="009F38E8" w:rsidRDefault="009F38E8" w:rsidP="009F38E8">
      <w:pPr>
        <w:pStyle w:val="41"/>
        <w:shd w:val="clear" w:color="auto" w:fill="auto"/>
        <w:spacing w:line="240" w:lineRule="auto"/>
        <w:ind w:right="20" w:firstLine="1000"/>
        <w:jc w:val="both"/>
        <w:rPr>
          <w:sz w:val="24"/>
          <w:szCs w:val="24"/>
        </w:rPr>
      </w:pPr>
      <w:r w:rsidRPr="009F38E8">
        <w:rPr>
          <w:rStyle w:val="1"/>
          <w:sz w:val="24"/>
          <w:szCs w:val="24"/>
        </w:rPr>
        <w:t>передать работодателю при прекращении или расторжении трудового договора между работником и университетом, имеющиеся в пользовании работника материальные носители информации, которая составляет коммерческую тайну.</w:t>
      </w:r>
    </w:p>
    <w:p w:rsidR="009F38E8" w:rsidRPr="009F38E8" w:rsidRDefault="009F38E8" w:rsidP="009F38E8">
      <w:pPr>
        <w:pStyle w:val="41"/>
        <w:shd w:val="clear" w:color="auto" w:fill="auto"/>
        <w:spacing w:line="240" w:lineRule="auto"/>
        <w:ind w:left="20" w:right="20" w:firstLine="700"/>
        <w:jc w:val="both"/>
        <w:rPr>
          <w:sz w:val="24"/>
          <w:szCs w:val="24"/>
        </w:rPr>
      </w:pPr>
      <w:r w:rsidRPr="009F38E8">
        <w:rPr>
          <w:rStyle w:val="1"/>
          <w:sz w:val="24"/>
          <w:szCs w:val="24"/>
        </w:rPr>
        <w:t xml:space="preserve">В связи с тем, что ноу-хау не имеют механизма патентной защиты и не регистрируются в федеральном органе исполнительной власти по интеллектуальной собственности (далее Роспатенте), </w:t>
      </w:r>
      <w:r w:rsidRPr="00E8395B">
        <w:rPr>
          <w:rStyle w:val="1"/>
          <w:b/>
          <w:sz w:val="24"/>
          <w:szCs w:val="24"/>
        </w:rPr>
        <w:t>заявки на этот вид интеллектуальной собственности проходят экспертную оценку и регистрацию в университете.</w:t>
      </w:r>
    </w:p>
    <w:p w:rsidR="009F38E8" w:rsidRPr="009F38E8" w:rsidRDefault="009F38E8" w:rsidP="009F38E8">
      <w:pPr>
        <w:pStyle w:val="41"/>
        <w:numPr>
          <w:ilvl w:val="0"/>
          <w:numId w:val="4"/>
        </w:numPr>
        <w:shd w:val="clear" w:color="auto" w:fill="auto"/>
        <w:tabs>
          <w:tab w:val="left" w:pos="1230"/>
        </w:tabs>
        <w:spacing w:line="240" w:lineRule="auto"/>
        <w:ind w:left="20" w:right="20" w:firstLine="700"/>
        <w:jc w:val="both"/>
        <w:rPr>
          <w:sz w:val="24"/>
          <w:szCs w:val="24"/>
        </w:rPr>
      </w:pPr>
      <w:r w:rsidRPr="00E8395B">
        <w:rPr>
          <w:rStyle w:val="1"/>
          <w:b/>
          <w:sz w:val="24"/>
          <w:szCs w:val="24"/>
        </w:rPr>
        <w:t>Для проведения экспертной оценки и регистрации ноу-хау приказом ректора</w:t>
      </w:r>
      <w:r w:rsidRPr="009F38E8">
        <w:rPr>
          <w:rStyle w:val="1"/>
          <w:sz w:val="24"/>
          <w:szCs w:val="24"/>
        </w:rPr>
        <w:t xml:space="preserve"> в структурных подразделениях университета (институты, академии) по представлению директора структурного подразделения </w:t>
      </w:r>
      <w:r w:rsidRPr="00E8395B">
        <w:rPr>
          <w:rStyle w:val="1"/>
          <w:b/>
          <w:sz w:val="24"/>
          <w:szCs w:val="24"/>
        </w:rPr>
        <w:t>создаются экспертные группы</w:t>
      </w:r>
      <w:r w:rsidRPr="009F38E8">
        <w:rPr>
          <w:rStyle w:val="1"/>
          <w:sz w:val="24"/>
          <w:szCs w:val="24"/>
        </w:rPr>
        <w:t>.</w:t>
      </w:r>
    </w:p>
    <w:p w:rsidR="009F38E8" w:rsidRPr="00E8395B" w:rsidRDefault="009F38E8" w:rsidP="009F38E8">
      <w:pPr>
        <w:pStyle w:val="41"/>
        <w:numPr>
          <w:ilvl w:val="0"/>
          <w:numId w:val="4"/>
        </w:numPr>
        <w:shd w:val="clear" w:color="auto" w:fill="auto"/>
        <w:tabs>
          <w:tab w:val="left" w:pos="1374"/>
        </w:tabs>
        <w:spacing w:line="240" w:lineRule="auto"/>
        <w:ind w:left="20" w:right="20" w:firstLine="700"/>
        <w:jc w:val="both"/>
        <w:rPr>
          <w:b/>
          <w:sz w:val="24"/>
          <w:szCs w:val="24"/>
        </w:rPr>
      </w:pPr>
      <w:r w:rsidRPr="009F38E8">
        <w:rPr>
          <w:rStyle w:val="1"/>
          <w:sz w:val="24"/>
          <w:szCs w:val="24"/>
        </w:rPr>
        <w:t xml:space="preserve">С целью обеспечения мер по охране конфиденциальности информации, составляющей коммерческую тайну, касающейся зарегистрированного ноу-хау, </w:t>
      </w:r>
      <w:r w:rsidRPr="00E8395B">
        <w:rPr>
          <w:rStyle w:val="1"/>
          <w:b/>
          <w:sz w:val="24"/>
          <w:szCs w:val="24"/>
        </w:rPr>
        <w:t>приказом ректора университета вводится режим коммерческой тайны.</w:t>
      </w:r>
    </w:p>
    <w:p w:rsidR="009F38E8" w:rsidRPr="009F38E8" w:rsidRDefault="009F38E8" w:rsidP="009F38E8">
      <w:pPr>
        <w:pStyle w:val="41"/>
        <w:numPr>
          <w:ilvl w:val="0"/>
          <w:numId w:val="4"/>
        </w:numPr>
        <w:shd w:val="clear" w:color="auto" w:fill="auto"/>
        <w:tabs>
          <w:tab w:val="left" w:pos="1326"/>
        </w:tabs>
        <w:spacing w:line="240" w:lineRule="auto"/>
        <w:ind w:left="20" w:right="20" w:firstLine="700"/>
        <w:jc w:val="both"/>
        <w:rPr>
          <w:sz w:val="24"/>
          <w:szCs w:val="24"/>
        </w:rPr>
      </w:pPr>
      <w:r w:rsidRPr="009F38E8">
        <w:rPr>
          <w:rStyle w:val="1"/>
          <w:sz w:val="24"/>
          <w:szCs w:val="24"/>
        </w:rPr>
        <w:t>Экспертная оценка стоимости и порядок постановки ноу-хау на баланс университета определяются в «Положении о порядке оценки стоимости и постановке на баланс объектов интеллектуальной собственности университета», утвержденном приказом ректора после рассмотрения Ученым советом университета или по результатам независимой экспертизы, проведенной экспертами, аттестованными в данной области.</w:t>
      </w:r>
    </w:p>
    <w:p w:rsidR="009F38E8" w:rsidRPr="00E8395B" w:rsidRDefault="009F38E8" w:rsidP="009F38E8">
      <w:pPr>
        <w:pStyle w:val="41"/>
        <w:shd w:val="clear" w:color="auto" w:fill="auto"/>
        <w:spacing w:line="240" w:lineRule="auto"/>
        <w:ind w:left="20" w:right="20" w:firstLine="700"/>
        <w:jc w:val="both"/>
        <w:rPr>
          <w:b/>
          <w:sz w:val="24"/>
          <w:szCs w:val="24"/>
        </w:rPr>
      </w:pPr>
      <w:r w:rsidRPr="00E8395B">
        <w:rPr>
          <w:rStyle w:val="1"/>
          <w:b/>
          <w:sz w:val="24"/>
          <w:szCs w:val="24"/>
        </w:rPr>
        <w:t>Все лица, причастные к рассмотрению заявок на ноу-хау, должны быть ознакомлены с Законом № 98-ФЗ, и в установленном порядке:</w:t>
      </w:r>
    </w:p>
    <w:p w:rsidR="009F38E8" w:rsidRPr="009F38E8" w:rsidRDefault="009F38E8" w:rsidP="009F38E8">
      <w:pPr>
        <w:pStyle w:val="41"/>
        <w:shd w:val="clear" w:color="auto" w:fill="auto"/>
        <w:spacing w:line="240" w:lineRule="auto"/>
        <w:ind w:left="20" w:right="20" w:firstLine="1060"/>
        <w:jc w:val="both"/>
        <w:rPr>
          <w:sz w:val="24"/>
          <w:szCs w:val="24"/>
        </w:rPr>
      </w:pPr>
      <w:r w:rsidRPr="00E8395B">
        <w:rPr>
          <w:rStyle w:val="1"/>
          <w:b/>
          <w:sz w:val="24"/>
          <w:szCs w:val="24"/>
        </w:rPr>
        <w:lastRenderedPageBreak/>
        <w:t>дать расписку</w:t>
      </w:r>
      <w:r w:rsidRPr="009F38E8">
        <w:rPr>
          <w:rStyle w:val="1"/>
          <w:sz w:val="24"/>
          <w:szCs w:val="24"/>
        </w:rPr>
        <w:t xml:space="preserve"> о сохранении конфиденциальности на заявляемые секреты производства с соблюдением порядка работы и хранения документов, содержащих коммерческую тайну;</w:t>
      </w:r>
    </w:p>
    <w:p w:rsidR="009F38E8" w:rsidRPr="009F38E8" w:rsidRDefault="009F38E8" w:rsidP="009F38E8">
      <w:pPr>
        <w:pStyle w:val="41"/>
        <w:numPr>
          <w:ilvl w:val="0"/>
          <w:numId w:val="5"/>
        </w:numPr>
        <w:shd w:val="clear" w:color="auto" w:fill="auto"/>
        <w:tabs>
          <w:tab w:val="left" w:pos="1009"/>
        </w:tabs>
        <w:spacing w:line="240" w:lineRule="auto"/>
        <w:ind w:left="20" w:right="20" w:firstLine="700"/>
        <w:jc w:val="both"/>
        <w:rPr>
          <w:sz w:val="24"/>
          <w:szCs w:val="24"/>
        </w:rPr>
      </w:pPr>
      <w:r w:rsidRPr="009F38E8">
        <w:rPr>
          <w:rStyle w:val="1"/>
          <w:sz w:val="24"/>
          <w:szCs w:val="24"/>
        </w:rPr>
        <w:t>дать расписку об ознакомлении с перечнем информации, составляющей коммерческую тайну, обладателем которой является МИИТ и его контрагенты;</w:t>
      </w:r>
    </w:p>
    <w:p w:rsidR="009F38E8" w:rsidRPr="009F38E8" w:rsidRDefault="009F38E8" w:rsidP="009F38E8">
      <w:pPr>
        <w:pStyle w:val="41"/>
        <w:numPr>
          <w:ilvl w:val="0"/>
          <w:numId w:val="5"/>
        </w:numPr>
        <w:shd w:val="clear" w:color="auto" w:fill="auto"/>
        <w:tabs>
          <w:tab w:val="left" w:pos="1014"/>
        </w:tabs>
        <w:spacing w:line="240" w:lineRule="auto"/>
        <w:ind w:left="20" w:right="20" w:firstLine="700"/>
        <w:jc w:val="both"/>
        <w:rPr>
          <w:sz w:val="24"/>
          <w:szCs w:val="24"/>
        </w:rPr>
      </w:pPr>
      <w:r w:rsidRPr="009F38E8">
        <w:rPr>
          <w:rStyle w:val="1"/>
          <w:sz w:val="24"/>
          <w:szCs w:val="24"/>
        </w:rPr>
        <w:t>дать расписку об ознакомлении с установленным МИИТ режимом коммерческой тайны и с мерами ответственности за его нарушение.</w:t>
      </w:r>
    </w:p>
    <w:p w:rsidR="009F38E8" w:rsidRDefault="009F38E8" w:rsidP="009F38E8">
      <w:pPr>
        <w:pStyle w:val="41"/>
        <w:shd w:val="clear" w:color="auto" w:fill="auto"/>
        <w:spacing w:line="240" w:lineRule="auto"/>
        <w:ind w:left="20" w:right="20" w:firstLine="700"/>
        <w:jc w:val="both"/>
        <w:rPr>
          <w:rStyle w:val="1"/>
          <w:sz w:val="24"/>
          <w:szCs w:val="24"/>
        </w:rPr>
      </w:pPr>
      <w:r w:rsidRPr="009F38E8">
        <w:rPr>
          <w:rStyle w:val="1"/>
          <w:sz w:val="24"/>
          <w:szCs w:val="24"/>
        </w:rPr>
        <w:t>Эти лица несут ответственность за нарушение Закона №98-ФЗ (образец расписки прилагается в приложении).</w:t>
      </w:r>
    </w:p>
    <w:p w:rsidR="009F38E8" w:rsidRPr="009F38E8" w:rsidRDefault="009F38E8" w:rsidP="009F38E8">
      <w:pPr>
        <w:pStyle w:val="41"/>
        <w:shd w:val="clear" w:color="auto" w:fill="auto"/>
        <w:spacing w:line="240" w:lineRule="auto"/>
        <w:ind w:left="20" w:right="20" w:firstLine="700"/>
        <w:jc w:val="both"/>
        <w:rPr>
          <w:sz w:val="24"/>
          <w:szCs w:val="24"/>
        </w:rPr>
      </w:pPr>
    </w:p>
    <w:p w:rsidR="009F38E8" w:rsidRPr="009F38E8" w:rsidRDefault="009F38E8" w:rsidP="009F38E8">
      <w:pPr>
        <w:pStyle w:val="41"/>
        <w:shd w:val="clear" w:color="auto" w:fill="auto"/>
        <w:spacing w:line="240" w:lineRule="auto"/>
        <w:ind w:left="940" w:firstLine="0"/>
        <w:rPr>
          <w:sz w:val="24"/>
          <w:szCs w:val="24"/>
        </w:rPr>
      </w:pPr>
      <w:r w:rsidRPr="009F38E8">
        <w:rPr>
          <w:rStyle w:val="1"/>
          <w:sz w:val="24"/>
          <w:szCs w:val="24"/>
        </w:rPr>
        <w:t>6. ПОРЯДОК РАССМОТРЕНИЯ и РЕГИСТРАЦИИ НОУ-ХАУ</w:t>
      </w:r>
    </w:p>
    <w:p w:rsidR="009F38E8" w:rsidRPr="009F38E8" w:rsidRDefault="009F38E8" w:rsidP="009F38E8">
      <w:pPr>
        <w:pStyle w:val="41"/>
        <w:numPr>
          <w:ilvl w:val="0"/>
          <w:numId w:val="6"/>
        </w:numPr>
        <w:shd w:val="clear" w:color="auto" w:fill="auto"/>
        <w:tabs>
          <w:tab w:val="left" w:pos="1258"/>
        </w:tabs>
        <w:spacing w:line="240" w:lineRule="auto"/>
        <w:ind w:right="20" w:firstLine="720"/>
        <w:jc w:val="both"/>
        <w:rPr>
          <w:sz w:val="24"/>
          <w:szCs w:val="24"/>
        </w:rPr>
      </w:pPr>
      <w:r w:rsidRPr="00E8395B">
        <w:rPr>
          <w:rStyle w:val="1"/>
          <w:b/>
          <w:sz w:val="24"/>
          <w:szCs w:val="24"/>
        </w:rPr>
        <w:t>Регистрации подлежат ноу-хау университета любой тематической направленности</w:t>
      </w:r>
      <w:r w:rsidRPr="009F38E8">
        <w:rPr>
          <w:rStyle w:val="1"/>
          <w:sz w:val="24"/>
          <w:szCs w:val="24"/>
        </w:rPr>
        <w:t>, назначения и структуры, соответствующие требованиям законодательства РФ.</w:t>
      </w:r>
    </w:p>
    <w:p w:rsidR="009F38E8" w:rsidRPr="00E8395B" w:rsidRDefault="009F38E8" w:rsidP="009F38E8">
      <w:pPr>
        <w:pStyle w:val="41"/>
        <w:numPr>
          <w:ilvl w:val="0"/>
          <w:numId w:val="6"/>
        </w:numPr>
        <w:shd w:val="clear" w:color="auto" w:fill="auto"/>
        <w:tabs>
          <w:tab w:val="left" w:pos="1291"/>
        </w:tabs>
        <w:spacing w:line="240" w:lineRule="auto"/>
        <w:ind w:right="20" w:firstLine="720"/>
        <w:jc w:val="both"/>
        <w:rPr>
          <w:b/>
          <w:sz w:val="24"/>
          <w:szCs w:val="24"/>
        </w:rPr>
      </w:pPr>
      <w:r w:rsidRPr="00E8395B">
        <w:rPr>
          <w:rStyle w:val="1"/>
          <w:b/>
          <w:sz w:val="24"/>
          <w:szCs w:val="24"/>
        </w:rPr>
        <w:t>Заявка на регистрацию ноу-хау подается в экспертную группу структурного подразделения университета и включает следующие документы:</w:t>
      </w:r>
    </w:p>
    <w:p w:rsidR="009F38E8" w:rsidRPr="009F38E8" w:rsidRDefault="009F38E8" w:rsidP="009F38E8">
      <w:pPr>
        <w:pStyle w:val="41"/>
        <w:shd w:val="clear" w:color="auto" w:fill="auto"/>
        <w:spacing w:line="240" w:lineRule="auto"/>
        <w:ind w:right="20" w:firstLine="720"/>
        <w:jc w:val="both"/>
        <w:rPr>
          <w:sz w:val="24"/>
          <w:szCs w:val="24"/>
        </w:rPr>
      </w:pPr>
      <w:r w:rsidRPr="009F38E8">
        <w:rPr>
          <w:rStyle w:val="1"/>
          <w:sz w:val="24"/>
          <w:szCs w:val="24"/>
        </w:rPr>
        <w:t xml:space="preserve">1) </w:t>
      </w:r>
      <w:r w:rsidRPr="00E8395B">
        <w:rPr>
          <w:rStyle w:val="1"/>
          <w:b/>
          <w:sz w:val="24"/>
          <w:szCs w:val="24"/>
        </w:rPr>
        <w:t>Заявление автора (</w:t>
      </w:r>
      <w:proofErr w:type="spellStart"/>
      <w:r w:rsidRPr="00E8395B">
        <w:rPr>
          <w:rStyle w:val="1"/>
          <w:b/>
          <w:sz w:val="24"/>
          <w:szCs w:val="24"/>
        </w:rPr>
        <w:t>ов</w:t>
      </w:r>
      <w:proofErr w:type="spellEnd"/>
      <w:r w:rsidRPr="00E8395B">
        <w:rPr>
          <w:rStyle w:val="1"/>
          <w:b/>
          <w:sz w:val="24"/>
          <w:szCs w:val="24"/>
        </w:rPr>
        <w:t>).</w:t>
      </w:r>
      <w:r w:rsidRPr="009F38E8">
        <w:rPr>
          <w:rStyle w:val="1"/>
          <w:sz w:val="24"/>
          <w:szCs w:val="24"/>
        </w:rPr>
        <w:t xml:space="preserve"> В заявлении автор обязательно указывает сведения о том, что объект интеллектуальной собственности, создан в связи с выполнением им трудовых обязанностей </w:t>
      </w:r>
    </w:p>
    <w:p w:rsidR="009F38E8" w:rsidRPr="009F38E8" w:rsidRDefault="009F38E8" w:rsidP="009F38E8">
      <w:pPr>
        <w:pStyle w:val="41"/>
        <w:numPr>
          <w:ilvl w:val="1"/>
          <w:numId w:val="6"/>
        </w:numPr>
        <w:shd w:val="clear" w:color="auto" w:fill="auto"/>
        <w:tabs>
          <w:tab w:val="left" w:pos="1190"/>
        </w:tabs>
        <w:spacing w:line="240" w:lineRule="auto"/>
        <w:ind w:right="20" w:firstLine="720"/>
        <w:jc w:val="both"/>
        <w:rPr>
          <w:sz w:val="24"/>
          <w:szCs w:val="24"/>
        </w:rPr>
      </w:pPr>
      <w:r w:rsidRPr="00E8395B">
        <w:rPr>
          <w:rStyle w:val="1"/>
          <w:b/>
          <w:sz w:val="24"/>
          <w:szCs w:val="24"/>
        </w:rPr>
        <w:t>Справка о затратах,</w:t>
      </w:r>
      <w:r w:rsidRPr="009F38E8">
        <w:rPr>
          <w:rStyle w:val="1"/>
          <w:sz w:val="24"/>
          <w:szCs w:val="24"/>
        </w:rPr>
        <w:t xml:space="preserve"> произведенных при создании результатов интеллектуальной деятельности с приложением документов подтверждающих затраты.</w:t>
      </w:r>
    </w:p>
    <w:p w:rsidR="009F38E8" w:rsidRPr="009F38E8" w:rsidRDefault="009F38E8" w:rsidP="009F38E8">
      <w:pPr>
        <w:pStyle w:val="41"/>
        <w:numPr>
          <w:ilvl w:val="1"/>
          <w:numId w:val="6"/>
        </w:numPr>
        <w:shd w:val="clear" w:color="auto" w:fill="auto"/>
        <w:tabs>
          <w:tab w:val="left" w:pos="1133"/>
        </w:tabs>
        <w:spacing w:line="240" w:lineRule="auto"/>
        <w:ind w:right="20" w:firstLine="720"/>
        <w:jc w:val="both"/>
        <w:rPr>
          <w:sz w:val="24"/>
          <w:szCs w:val="24"/>
        </w:rPr>
      </w:pPr>
      <w:r w:rsidRPr="00E8395B">
        <w:rPr>
          <w:rStyle w:val="1"/>
          <w:b/>
          <w:sz w:val="24"/>
          <w:szCs w:val="24"/>
        </w:rPr>
        <w:t>Описание ноу-хау</w:t>
      </w:r>
      <w:r w:rsidRPr="009F38E8">
        <w:rPr>
          <w:rStyle w:val="1"/>
          <w:sz w:val="24"/>
          <w:szCs w:val="24"/>
        </w:rPr>
        <w:t xml:space="preserve"> оформляется в соответствии со схемой его составления и представляется в электронном виде и в 2-х печатных экз. Для обозначения документов, содержащих сведения, являющиеся секретом производства, в верхнем правом углу первой страницы документа проставляется отличительный реквизит «коммерческая тайна». Документы с таким реквизитом хранятся, обрабатываются и пересылаются в соответствии с законодательством Российской Федерации.</w:t>
      </w:r>
    </w:p>
    <w:p w:rsidR="009F38E8" w:rsidRPr="009F38E8" w:rsidRDefault="009F38E8" w:rsidP="009F38E8">
      <w:pPr>
        <w:pStyle w:val="41"/>
        <w:shd w:val="clear" w:color="auto" w:fill="auto"/>
        <w:spacing w:line="240" w:lineRule="auto"/>
        <w:ind w:firstLine="720"/>
        <w:jc w:val="both"/>
        <w:rPr>
          <w:sz w:val="24"/>
          <w:szCs w:val="24"/>
        </w:rPr>
      </w:pPr>
      <w:r w:rsidRPr="009F38E8">
        <w:rPr>
          <w:rStyle w:val="1"/>
          <w:sz w:val="24"/>
          <w:szCs w:val="24"/>
        </w:rPr>
        <w:t xml:space="preserve">Схема составления описания ноу-хау представлена в </w:t>
      </w:r>
      <w:r w:rsidRPr="009F38E8">
        <w:rPr>
          <w:rStyle w:val="23"/>
          <w:sz w:val="24"/>
          <w:szCs w:val="24"/>
        </w:rPr>
        <w:t>Приложении</w:t>
      </w:r>
      <w:r w:rsidRPr="009F38E8">
        <w:rPr>
          <w:rStyle w:val="1"/>
          <w:sz w:val="24"/>
          <w:szCs w:val="24"/>
        </w:rPr>
        <w:t>.</w:t>
      </w:r>
    </w:p>
    <w:p w:rsidR="009F38E8" w:rsidRPr="009F38E8" w:rsidRDefault="009F38E8" w:rsidP="009F38E8">
      <w:pPr>
        <w:pStyle w:val="41"/>
        <w:shd w:val="clear" w:color="auto" w:fill="auto"/>
        <w:spacing w:line="240" w:lineRule="auto"/>
        <w:ind w:right="20" w:firstLine="720"/>
        <w:jc w:val="both"/>
        <w:rPr>
          <w:sz w:val="24"/>
          <w:szCs w:val="24"/>
        </w:rPr>
      </w:pPr>
      <w:r w:rsidRPr="009F38E8">
        <w:rPr>
          <w:rStyle w:val="1"/>
          <w:sz w:val="24"/>
          <w:szCs w:val="24"/>
        </w:rPr>
        <w:t xml:space="preserve">Экспертная группа структурного подразделения университета, при получении Заявки на ноу-хау, производит ее регистрацию в специальном журнале, где указывается дата поступления Заявки, состав авторов и название РИД. В месячный срок </w:t>
      </w:r>
      <w:proofErr w:type="gramStart"/>
      <w:r w:rsidRPr="009F38E8">
        <w:rPr>
          <w:rStyle w:val="1"/>
          <w:sz w:val="24"/>
          <w:szCs w:val="24"/>
        </w:rPr>
        <w:t>с даты поступления</w:t>
      </w:r>
      <w:proofErr w:type="gramEnd"/>
      <w:r w:rsidRPr="009F38E8">
        <w:rPr>
          <w:rStyle w:val="1"/>
          <w:sz w:val="24"/>
          <w:szCs w:val="24"/>
        </w:rPr>
        <w:t xml:space="preserve"> Заявки на ноу-хау экспертная группа рассматривает ее и проводит предварительную оценку стоимости РИД. В случае принятия положительного решения, передает материалы заявки на ноу-хау в Ученый совет (научно-технический совет) структурного подразделения (института, академии) для согласования</w:t>
      </w:r>
      <w:r w:rsidRPr="009F38E8">
        <w:rPr>
          <w:rStyle w:val="1"/>
          <w:sz w:val="24"/>
          <w:szCs w:val="24"/>
          <w:vertAlign w:val="superscript"/>
        </w:rPr>
        <w:footnoteReference w:id="1"/>
      </w:r>
      <w:r w:rsidRPr="009F38E8">
        <w:rPr>
          <w:rStyle w:val="1"/>
          <w:sz w:val="24"/>
          <w:szCs w:val="24"/>
        </w:rPr>
        <w:t>.</w:t>
      </w:r>
    </w:p>
    <w:p w:rsidR="009F38E8" w:rsidRPr="00E8395B" w:rsidRDefault="009F38E8" w:rsidP="009F38E8">
      <w:pPr>
        <w:pStyle w:val="41"/>
        <w:shd w:val="clear" w:color="auto" w:fill="auto"/>
        <w:spacing w:line="240" w:lineRule="auto"/>
        <w:ind w:right="20" w:firstLine="720"/>
        <w:jc w:val="both"/>
        <w:rPr>
          <w:b/>
          <w:sz w:val="24"/>
          <w:szCs w:val="24"/>
        </w:rPr>
      </w:pPr>
      <w:proofErr w:type="gramStart"/>
      <w:r w:rsidRPr="00E8395B">
        <w:rPr>
          <w:rStyle w:val="1"/>
          <w:b/>
          <w:sz w:val="24"/>
          <w:szCs w:val="24"/>
        </w:rPr>
        <w:t>На</w:t>
      </w:r>
      <w:proofErr w:type="gramEnd"/>
      <w:r w:rsidRPr="00E8395B">
        <w:rPr>
          <w:rStyle w:val="1"/>
          <w:b/>
          <w:sz w:val="24"/>
          <w:szCs w:val="24"/>
        </w:rPr>
        <w:t xml:space="preserve"> </w:t>
      </w:r>
      <w:proofErr w:type="gramStart"/>
      <w:r w:rsidRPr="00E8395B">
        <w:rPr>
          <w:rStyle w:val="1"/>
          <w:b/>
          <w:sz w:val="24"/>
          <w:szCs w:val="24"/>
        </w:rPr>
        <w:t>РИД</w:t>
      </w:r>
      <w:proofErr w:type="gramEnd"/>
      <w:r w:rsidRPr="00E8395B">
        <w:rPr>
          <w:rStyle w:val="1"/>
          <w:b/>
          <w:sz w:val="24"/>
          <w:szCs w:val="24"/>
        </w:rPr>
        <w:t xml:space="preserve"> квалифицированный как ноу-хау университет регистрирует и оформляет соответствующее свидетельство.</w:t>
      </w:r>
    </w:p>
    <w:p w:rsidR="009F38E8" w:rsidRPr="009F38E8" w:rsidRDefault="009F38E8" w:rsidP="009F38E8">
      <w:pPr>
        <w:pStyle w:val="41"/>
        <w:shd w:val="clear" w:color="auto" w:fill="auto"/>
        <w:spacing w:line="240" w:lineRule="auto"/>
        <w:ind w:right="20" w:firstLine="720"/>
        <w:jc w:val="both"/>
        <w:rPr>
          <w:sz w:val="24"/>
          <w:szCs w:val="24"/>
        </w:rPr>
      </w:pPr>
      <w:r w:rsidRPr="00E8395B">
        <w:rPr>
          <w:rStyle w:val="1"/>
          <w:b/>
          <w:sz w:val="24"/>
          <w:szCs w:val="24"/>
        </w:rPr>
        <w:t>Свидетельству присваивается номер регистрации в 1-ом отделе университета</w:t>
      </w:r>
      <w:r w:rsidRPr="009F38E8">
        <w:rPr>
          <w:rStyle w:val="1"/>
          <w:sz w:val="24"/>
          <w:szCs w:val="24"/>
        </w:rPr>
        <w:t>.</w:t>
      </w:r>
    </w:p>
    <w:p w:rsidR="009F38E8" w:rsidRPr="00E8395B" w:rsidRDefault="009F38E8" w:rsidP="009F38E8">
      <w:pPr>
        <w:pStyle w:val="41"/>
        <w:numPr>
          <w:ilvl w:val="0"/>
          <w:numId w:val="6"/>
        </w:numPr>
        <w:shd w:val="clear" w:color="auto" w:fill="auto"/>
        <w:tabs>
          <w:tab w:val="left" w:pos="1239"/>
        </w:tabs>
        <w:spacing w:line="240" w:lineRule="auto"/>
        <w:ind w:left="20" w:right="40" w:firstLine="720"/>
        <w:jc w:val="both"/>
        <w:rPr>
          <w:b/>
          <w:sz w:val="24"/>
          <w:szCs w:val="24"/>
        </w:rPr>
      </w:pPr>
      <w:r w:rsidRPr="00E8395B">
        <w:rPr>
          <w:rStyle w:val="1"/>
          <w:b/>
          <w:sz w:val="24"/>
          <w:szCs w:val="24"/>
        </w:rPr>
        <w:t>Вся документация на ноу-хау</w:t>
      </w:r>
      <w:r w:rsidRPr="009F38E8">
        <w:rPr>
          <w:rStyle w:val="1"/>
          <w:sz w:val="24"/>
          <w:szCs w:val="24"/>
        </w:rPr>
        <w:t xml:space="preserve">, а именно заявка, принятое решение о признании ноу-хау, акт предварительной оценки стоимости РИД, выписка из решения Ученого (Научно-технического) совета и база данных (развёрнутая с описанием ноу-хау) </w:t>
      </w:r>
      <w:r w:rsidRPr="00E8395B">
        <w:rPr>
          <w:rStyle w:val="1"/>
          <w:b/>
          <w:sz w:val="24"/>
          <w:szCs w:val="24"/>
        </w:rPr>
        <w:t>хранится в 1-ом отделе университета.</w:t>
      </w:r>
    </w:p>
    <w:p w:rsidR="009F38E8" w:rsidRPr="00E8395B" w:rsidRDefault="009F38E8" w:rsidP="009F38E8">
      <w:pPr>
        <w:pStyle w:val="41"/>
        <w:numPr>
          <w:ilvl w:val="0"/>
          <w:numId w:val="6"/>
        </w:numPr>
        <w:shd w:val="clear" w:color="auto" w:fill="auto"/>
        <w:tabs>
          <w:tab w:val="left" w:pos="1479"/>
        </w:tabs>
        <w:spacing w:line="240" w:lineRule="auto"/>
        <w:ind w:left="20" w:right="40" w:firstLine="720"/>
        <w:jc w:val="both"/>
        <w:rPr>
          <w:b/>
          <w:sz w:val="24"/>
          <w:szCs w:val="24"/>
        </w:rPr>
      </w:pPr>
      <w:proofErr w:type="gramStart"/>
      <w:r w:rsidRPr="009F38E8">
        <w:rPr>
          <w:rStyle w:val="1"/>
          <w:sz w:val="24"/>
          <w:szCs w:val="24"/>
        </w:rPr>
        <w:t>Контроль за</w:t>
      </w:r>
      <w:proofErr w:type="gramEnd"/>
      <w:r w:rsidRPr="009F38E8">
        <w:rPr>
          <w:rStyle w:val="1"/>
          <w:sz w:val="24"/>
          <w:szCs w:val="24"/>
        </w:rPr>
        <w:t xml:space="preserve"> выполнением мероприятий по защите РИД, содержащих секреты производства осуществляет ректор МИИТ или уполномоченное им лицо. Круг лиц, имеющих доступ к материалам по ноу-хау, определяется приказом ректора по представлению руководителя структурного подразделения. </w:t>
      </w:r>
      <w:r w:rsidRPr="00E8395B">
        <w:rPr>
          <w:rStyle w:val="1"/>
          <w:b/>
          <w:sz w:val="24"/>
          <w:szCs w:val="24"/>
        </w:rPr>
        <w:t>Материалы по ноу-хау выдаются только лицам, имеющим доступ, в соответствии с приказом ректора по представлению руководителя структурного подразделения.</w:t>
      </w:r>
    </w:p>
    <w:p w:rsidR="009F38E8" w:rsidRPr="00E8395B" w:rsidRDefault="009F38E8" w:rsidP="009F38E8">
      <w:pPr>
        <w:pStyle w:val="41"/>
        <w:numPr>
          <w:ilvl w:val="0"/>
          <w:numId w:val="6"/>
        </w:numPr>
        <w:shd w:val="clear" w:color="auto" w:fill="auto"/>
        <w:tabs>
          <w:tab w:val="left" w:pos="1292"/>
        </w:tabs>
        <w:spacing w:line="240" w:lineRule="auto"/>
        <w:ind w:left="20" w:right="40" w:firstLine="720"/>
        <w:jc w:val="both"/>
        <w:rPr>
          <w:b/>
          <w:sz w:val="24"/>
          <w:szCs w:val="24"/>
        </w:rPr>
      </w:pPr>
      <w:r w:rsidRPr="00E8395B">
        <w:rPr>
          <w:rStyle w:val="1"/>
          <w:b/>
          <w:sz w:val="24"/>
          <w:szCs w:val="24"/>
        </w:rPr>
        <w:t>Открытой информацией в области секрета производства является: название ноу-хау, аннотация о ноу-хау рекламного характера без раскрытия его сущности, фамилия авторов, дата выдачи и номер свидетельства.</w:t>
      </w:r>
    </w:p>
    <w:p w:rsidR="009F38E8" w:rsidRPr="00E8395B" w:rsidRDefault="009F38E8" w:rsidP="009F38E8">
      <w:pPr>
        <w:pStyle w:val="41"/>
        <w:numPr>
          <w:ilvl w:val="0"/>
          <w:numId w:val="6"/>
        </w:numPr>
        <w:shd w:val="clear" w:color="auto" w:fill="auto"/>
        <w:tabs>
          <w:tab w:val="left" w:pos="1297"/>
        </w:tabs>
        <w:spacing w:line="240" w:lineRule="auto"/>
        <w:ind w:left="20" w:right="40" w:firstLine="720"/>
        <w:jc w:val="both"/>
        <w:rPr>
          <w:b/>
          <w:sz w:val="24"/>
          <w:szCs w:val="24"/>
        </w:rPr>
      </w:pPr>
      <w:r w:rsidRPr="00E8395B">
        <w:rPr>
          <w:rStyle w:val="1"/>
          <w:b/>
          <w:sz w:val="24"/>
          <w:szCs w:val="24"/>
        </w:rPr>
        <w:lastRenderedPageBreak/>
        <w:t>Единая база данных на объекты интеллектуальной собственности университета (включая открытую информацию на ноу-хау) хранится в УНИР.</w:t>
      </w:r>
      <w:r w:rsidR="004D0542">
        <w:rPr>
          <w:rStyle w:val="1"/>
          <w:b/>
          <w:sz w:val="24"/>
          <w:szCs w:val="24"/>
        </w:rPr>
        <w:t xml:space="preserve"> </w:t>
      </w:r>
    </w:p>
    <w:p w:rsidR="009F38E8" w:rsidRPr="009F38E8" w:rsidRDefault="009F38E8" w:rsidP="009F38E8">
      <w:pPr>
        <w:pStyle w:val="41"/>
        <w:shd w:val="clear" w:color="auto" w:fill="auto"/>
        <w:spacing w:line="240" w:lineRule="auto"/>
        <w:ind w:left="1480" w:firstLine="0"/>
        <w:rPr>
          <w:sz w:val="24"/>
          <w:szCs w:val="24"/>
        </w:rPr>
      </w:pPr>
      <w:r w:rsidRPr="009F38E8">
        <w:rPr>
          <w:rStyle w:val="1"/>
          <w:sz w:val="24"/>
          <w:szCs w:val="24"/>
        </w:rPr>
        <w:t>7. ПЕРЕДАЧА ПРАВА ИСПОЛЬЗОВАНИЯ НОУ-ХАУ</w:t>
      </w:r>
    </w:p>
    <w:p w:rsidR="009F38E8" w:rsidRPr="009F38E8" w:rsidRDefault="009F38E8" w:rsidP="009F38E8">
      <w:pPr>
        <w:pStyle w:val="41"/>
        <w:numPr>
          <w:ilvl w:val="0"/>
          <w:numId w:val="7"/>
        </w:numPr>
        <w:shd w:val="clear" w:color="auto" w:fill="auto"/>
        <w:tabs>
          <w:tab w:val="left" w:pos="1273"/>
        </w:tabs>
        <w:spacing w:line="240" w:lineRule="auto"/>
        <w:ind w:left="20" w:right="40" w:firstLine="720"/>
        <w:jc w:val="both"/>
        <w:rPr>
          <w:sz w:val="24"/>
          <w:szCs w:val="24"/>
        </w:rPr>
      </w:pPr>
      <w:r w:rsidRPr="00E8395B">
        <w:rPr>
          <w:rStyle w:val="1"/>
          <w:b/>
          <w:sz w:val="24"/>
          <w:szCs w:val="24"/>
        </w:rPr>
        <w:t>Передача контрагентам права использования секрета производства, осуществляется только в рамках Лицензионного договора, заключенного юридическими и физическими лицами с университетом,</w:t>
      </w:r>
      <w:r w:rsidRPr="009F38E8">
        <w:rPr>
          <w:rStyle w:val="1"/>
          <w:sz w:val="24"/>
          <w:szCs w:val="24"/>
        </w:rPr>
        <w:t xml:space="preserve"> с отражением в тексте договора обязательств получающей стороны соблюдать конфиденциальность переданной информации в течение всего срока действия Лицензионного договора. 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 Оформление лицензионного договора осуществляется при непосредственном участии автора (</w:t>
      </w:r>
      <w:proofErr w:type="spellStart"/>
      <w:r w:rsidRPr="009F38E8">
        <w:rPr>
          <w:rStyle w:val="1"/>
          <w:sz w:val="24"/>
          <w:szCs w:val="24"/>
        </w:rPr>
        <w:t>ов</w:t>
      </w:r>
      <w:proofErr w:type="spellEnd"/>
      <w:r w:rsidRPr="009F38E8">
        <w:rPr>
          <w:rStyle w:val="1"/>
          <w:sz w:val="24"/>
          <w:szCs w:val="24"/>
        </w:rPr>
        <w:t xml:space="preserve">). Образец лицензионного договора на передачу права использования ноу-хау приведен в </w:t>
      </w:r>
      <w:r w:rsidRPr="009F38E8">
        <w:rPr>
          <w:rStyle w:val="23"/>
          <w:sz w:val="24"/>
          <w:szCs w:val="24"/>
        </w:rPr>
        <w:t>Приложении 5</w:t>
      </w:r>
      <w:r w:rsidRPr="009F38E8">
        <w:rPr>
          <w:rStyle w:val="1"/>
          <w:sz w:val="24"/>
          <w:szCs w:val="24"/>
        </w:rPr>
        <w:t>.</w:t>
      </w:r>
    </w:p>
    <w:p w:rsidR="009F38E8" w:rsidRPr="009F38E8" w:rsidRDefault="009F38E8" w:rsidP="009F38E8">
      <w:pPr>
        <w:pStyle w:val="41"/>
        <w:numPr>
          <w:ilvl w:val="0"/>
          <w:numId w:val="7"/>
        </w:numPr>
        <w:shd w:val="clear" w:color="auto" w:fill="auto"/>
        <w:tabs>
          <w:tab w:val="left" w:pos="1378"/>
        </w:tabs>
        <w:spacing w:line="240" w:lineRule="auto"/>
        <w:ind w:left="20" w:right="40" w:firstLine="720"/>
        <w:jc w:val="both"/>
        <w:rPr>
          <w:sz w:val="24"/>
          <w:szCs w:val="24"/>
        </w:rPr>
      </w:pPr>
      <w:r w:rsidRPr="009F38E8">
        <w:rPr>
          <w:rStyle w:val="1"/>
          <w:sz w:val="24"/>
          <w:szCs w:val="24"/>
        </w:rPr>
        <w:t>При оформлении лицензионного договора на передачу права использования ноу-хау, по представлению руководителя структурного подразделения, где создано ноу-хау один экземпляр описания секрета производства передается 1-ым отделом экспертной группе структурного подразделения в установленном порядке для последующей передачи его лицензиату (контрагенту).</w:t>
      </w:r>
    </w:p>
    <w:p w:rsidR="004D0542" w:rsidRPr="004D0542" w:rsidRDefault="009F38E8" w:rsidP="009F38E8">
      <w:pPr>
        <w:pStyle w:val="41"/>
        <w:numPr>
          <w:ilvl w:val="0"/>
          <w:numId w:val="7"/>
        </w:numPr>
        <w:shd w:val="clear" w:color="auto" w:fill="auto"/>
        <w:tabs>
          <w:tab w:val="left" w:pos="1268"/>
        </w:tabs>
        <w:spacing w:line="240" w:lineRule="auto"/>
        <w:ind w:left="20" w:right="20" w:firstLine="700"/>
        <w:jc w:val="both"/>
        <w:rPr>
          <w:rStyle w:val="1"/>
          <w:b/>
          <w:sz w:val="24"/>
          <w:szCs w:val="24"/>
        </w:rPr>
      </w:pPr>
      <w:r w:rsidRPr="004D0542">
        <w:rPr>
          <w:rStyle w:val="1"/>
          <w:b/>
          <w:sz w:val="24"/>
          <w:szCs w:val="24"/>
        </w:rPr>
        <w:t>Предварительная оценка эффективности от использования объекта интеллектуальной собственности (ноу-хау) может быть выполнена по «Методике расчета экономического эффекта от использования ОИС»,</w:t>
      </w:r>
      <w:r w:rsidRPr="004D0542">
        <w:rPr>
          <w:rStyle w:val="1"/>
          <w:sz w:val="24"/>
          <w:szCs w:val="24"/>
        </w:rPr>
        <w:t xml:space="preserve"> приведенной </w:t>
      </w:r>
      <w:proofErr w:type="gramStart"/>
      <w:r w:rsidRPr="004D0542">
        <w:rPr>
          <w:rStyle w:val="1"/>
          <w:sz w:val="24"/>
          <w:szCs w:val="24"/>
        </w:rPr>
        <w:t>в</w:t>
      </w:r>
      <w:proofErr w:type="gramEnd"/>
      <w:r w:rsidRPr="004D0542">
        <w:rPr>
          <w:rStyle w:val="1"/>
          <w:sz w:val="24"/>
          <w:szCs w:val="24"/>
        </w:rPr>
        <w:t xml:space="preserve"> </w:t>
      </w:r>
    </w:p>
    <w:p w:rsidR="009F38E8" w:rsidRPr="004D0542" w:rsidRDefault="009F38E8" w:rsidP="009F38E8">
      <w:pPr>
        <w:pStyle w:val="41"/>
        <w:numPr>
          <w:ilvl w:val="0"/>
          <w:numId w:val="7"/>
        </w:numPr>
        <w:shd w:val="clear" w:color="auto" w:fill="auto"/>
        <w:tabs>
          <w:tab w:val="left" w:pos="1268"/>
        </w:tabs>
        <w:spacing w:line="240" w:lineRule="auto"/>
        <w:ind w:left="20" w:right="20" w:firstLine="700"/>
        <w:jc w:val="both"/>
        <w:rPr>
          <w:b/>
          <w:sz w:val="24"/>
          <w:szCs w:val="24"/>
        </w:rPr>
      </w:pPr>
      <w:r w:rsidRPr="004D0542">
        <w:rPr>
          <w:rStyle w:val="1"/>
          <w:sz w:val="24"/>
          <w:szCs w:val="24"/>
        </w:rPr>
        <w:t xml:space="preserve">7.4. </w:t>
      </w:r>
      <w:r w:rsidRPr="004D0542">
        <w:rPr>
          <w:rStyle w:val="1"/>
          <w:b/>
          <w:sz w:val="24"/>
          <w:szCs w:val="24"/>
        </w:rPr>
        <w:t>Размер авторского вознаграждения за ноу-хау определяется условиями договора в зависимости от экономического эффекта</w:t>
      </w:r>
      <w:r w:rsidRPr="004D0542">
        <w:rPr>
          <w:rStyle w:val="1"/>
          <w:sz w:val="24"/>
          <w:szCs w:val="24"/>
        </w:rPr>
        <w:t xml:space="preserve"> от использования ноу-хау и может быть определен в соответствии с таблицей 3, приведенной в «Методике расчета экономического эффекта от использования ОИС» </w:t>
      </w:r>
    </w:p>
    <w:p w:rsidR="00D23F77" w:rsidRPr="009F38E8" w:rsidRDefault="00D23F77" w:rsidP="009F38E8">
      <w:pPr>
        <w:spacing w:after="0" w:line="240" w:lineRule="auto"/>
        <w:rPr>
          <w:sz w:val="24"/>
          <w:szCs w:val="24"/>
        </w:rPr>
      </w:pPr>
    </w:p>
    <w:sectPr w:rsidR="00D23F77" w:rsidRPr="009F38E8" w:rsidSect="009F38E8">
      <w:pgSz w:w="11906" w:h="16838"/>
      <w:pgMar w:top="568" w:right="566"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6B4" w:rsidRDefault="004676B4" w:rsidP="009F38E8">
      <w:pPr>
        <w:spacing w:after="0" w:line="240" w:lineRule="auto"/>
      </w:pPr>
      <w:r>
        <w:separator/>
      </w:r>
    </w:p>
  </w:endnote>
  <w:endnote w:type="continuationSeparator" w:id="0">
    <w:p w:rsidR="004676B4" w:rsidRDefault="004676B4" w:rsidP="009F3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6B4" w:rsidRDefault="004676B4" w:rsidP="009F38E8">
      <w:pPr>
        <w:spacing w:after="0" w:line="240" w:lineRule="auto"/>
      </w:pPr>
      <w:r>
        <w:separator/>
      </w:r>
    </w:p>
  </w:footnote>
  <w:footnote w:type="continuationSeparator" w:id="0">
    <w:p w:rsidR="004676B4" w:rsidRDefault="004676B4" w:rsidP="009F38E8">
      <w:pPr>
        <w:spacing w:after="0" w:line="240" w:lineRule="auto"/>
      </w:pPr>
      <w:r>
        <w:continuationSeparator/>
      </w:r>
    </w:p>
  </w:footnote>
  <w:footnote w:id="1">
    <w:p w:rsidR="009F38E8" w:rsidRDefault="009F38E8" w:rsidP="009F38E8">
      <w:pPr>
        <w:pStyle w:val="22"/>
        <w:shd w:val="clear" w:color="auto" w:fill="auto"/>
        <w:ind w:left="20" w:right="20"/>
      </w:pPr>
      <w:r>
        <w:footnoteRef/>
      </w:r>
      <w:r>
        <w:t xml:space="preserve"> Такая оценка не может быть ниже расходов, понесенных при приобретении, создании соответствующих результатов интеллектуальной деятельности и обеспечении условий для их использования в запланированных целях. При этом необходимо учитывать, что в случае, если экспертная группа (ученый совет) планирует оценить стоимость права использования РИД на сумму более пятисот тысяч рублей, должен быть привлечен независимый эксперт, аттестованный в данной области.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20D77"/>
    <w:multiLevelType w:val="multilevel"/>
    <w:tmpl w:val="79A04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A131A1"/>
    <w:multiLevelType w:val="multilevel"/>
    <w:tmpl w:val="7156916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C6149E"/>
    <w:multiLevelType w:val="multilevel"/>
    <w:tmpl w:val="396EA5E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5D142E"/>
    <w:multiLevelType w:val="hybridMultilevel"/>
    <w:tmpl w:val="F6F6FAA8"/>
    <w:lvl w:ilvl="0" w:tplc="4846318C">
      <w:start w:val="1"/>
      <w:numFmt w:val="bullet"/>
      <w:pStyle w:val="19"/>
      <w:lvlText w:val=""/>
      <w:lvlJc w:val="left"/>
      <w:pPr>
        <w:tabs>
          <w:tab w:val="num" w:pos="1287"/>
        </w:tabs>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pStyle w:val="4"/>
      <w:lvlText w:val="%4."/>
      <w:lvlJc w:val="left"/>
      <w:pPr>
        <w:tabs>
          <w:tab w:val="num" w:pos="2880"/>
        </w:tabs>
        <w:ind w:left="2880" w:hanging="360"/>
      </w:pPr>
    </w:lvl>
    <w:lvl w:ilvl="4" w:tplc="04190003">
      <w:start w:val="1"/>
      <w:numFmt w:val="decimal"/>
      <w:pStyle w:val="5"/>
      <w:lvlText w:val="%5."/>
      <w:lvlJc w:val="left"/>
      <w:pPr>
        <w:tabs>
          <w:tab w:val="num" w:pos="3600"/>
        </w:tabs>
        <w:ind w:left="3600" w:hanging="360"/>
      </w:pPr>
    </w:lvl>
    <w:lvl w:ilvl="5" w:tplc="04190005">
      <w:start w:val="1"/>
      <w:numFmt w:val="decimal"/>
      <w:pStyle w:val="6"/>
      <w:lvlText w:val="%6."/>
      <w:lvlJc w:val="left"/>
      <w:pPr>
        <w:tabs>
          <w:tab w:val="num" w:pos="4320"/>
        </w:tabs>
        <w:ind w:left="4320" w:hanging="360"/>
      </w:pPr>
    </w:lvl>
    <w:lvl w:ilvl="6" w:tplc="04190001">
      <w:start w:val="1"/>
      <w:numFmt w:val="decimal"/>
      <w:pStyle w:val="7"/>
      <w:lvlText w:val="%7."/>
      <w:lvlJc w:val="left"/>
      <w:pPr>
        <w:tabs>
          <w:tab w:val="num" w:pos="5040"/>
        </w:tabs>
        <w:ind w:left="5040" w:hanging="360"/>
      </w:pPr>
    </w:lvl>
    <w:lvl w:ilvl="7" w:tplc="04190003">
      <w:start w:val="1"/>
      <w:numFmt w:val="decimal"/>
      <w:pStyle w:val="8"/>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A94762F"/>
    <w:multiLevelType w:val="multilevel"/>
    <w:tmpl w:val="94085A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D723F9"/>
    <w:multiLevelType w:val="multilevel"/>
    <w:tmpl w:val="A5DA11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3F77"/>
    <w:rsid w:val="004676B4"/>
    <w:rsid w:val="004D0542"/>
    <w:rsid w:val="004E380F"/>
    <w:rsid w:val="0056212D"/>
    <w:rsid w:val="005E43EE"/>
    <w:rsid w:val="009F38E8"/>
    <w:rsid w:val="00B2397F"/>
    <w:rsid w:val="00D23F77"/>
    <w:rsid w:val="00E8395B"/>
    <w:rsid w:val="00E85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EE"/>
  </w:style>
  <w:style w:type="paragraph" w:styleId="4">
    <w:name w:val="heading 4"/>
    <w:basedOn w:val="a"/>
    <w:next w:val="a"/>
    <w:link w:val="40"/>
    <w:qFormat/>
    <w:rsid w:val="00D23F77"/>
    <w:pPr>
      <w:keepNext/>
      <w:widowControl w:val="0"/>
      <w:numPr>
        <w:ilvl w:val="3"/>
        <w:numId w:val="1"/>
      </w:numPr>
      <w:suppressAutoHyphens/>
      <w:overflowPunct w:val="0"/>
      <w:autoSpaceDE w:val="0"/>
      <w:spacing w:after="0" w:line="240" w:lineRule="auto"/>
      <w:ind w:left="0" w:firstLine="0"/>
      <w:jc w:val="both"/>
      <w:textAlignment w:val="baseline"/>
      <w:outlineLvl w:val="3"/>
    </w:pPr>
    <w:rPr>
      <w:rFonts w:ascii="Times New Roman" w:eastAsia="Times New Roman" w:hAnsi="Times New Roman" w:cs="Times New Roman"/>
      <w:i/>
      <w:szCs w:val="20"/>
      <w:lang w:eastAsia="ar-SA"/>
    </w:rPr>
  </w:style>
  <w:style w:type="paragraph" w:styleId="5">
    <w:name w:val="heading 5"/>
    <w:basedOn w:val="a"/>
    <w:next w:val="a"/>
    <w:link w:val="50"/>
    <w:qFormat/>
    <w:rsid w:val="00D23F77"/>
    <w:pPr>
      <w:keepNext/>
      <w:numPr>
        <w:ilvl w:val="4"/>
        <w:numId w:val="1"/>
      </w:numPr>
      <w:suppressAutoHyphens/>
      <w:overflowPunct w:val="0"/>
      <w:autoSpaceDE w:val="0"/>
      <w:spacing w:after="0" w:line="240" w:lineRule="auto"/>
      <w:ind w:left="0" w:firstLine="0"/>
      <w:textAlignment w:val="baseline"/>
      <w:outlineLvl w:val="4"/>
    </w:pPr>
    <w:rPr>
      <w:rFonts w:ascii="Times New Roman" w:eastAsia="Times New Roman" w:hAnsi="Times New Roman" w:cs="Times New Roman"/>
      <w:b/>
      <w:sz w:val="18"/>
      <w:szCs w:val="20"/>
      <w:lang w:eastAsia="ar-SA"/>
    </w:rPr>
  </w:style>
  <w:style w:type="paragraph" w:styleId="6">
    <w:name w:val="heading 6"/>
    <w:basedOn w:val="a"/>
    <w:next w:val="a"/>
    <w:link w:val="60"/>
    <w:qFormat/>
    <w:rsid w:val="00D23F77"/>
    <w:pPr>
      <w:keepNext/>
      <w:numPr>
        <w:ilvl w:val="5"/>
        <w:numId w:val="1"/>
      </w:numPr>
      <w:suppressAutoHyphens/>
      <w:overflowPunct w:val="0"/>
      <w:autoSpaceDE w:val="0"/>
      <w:spacing w:after="0" w:line="240" w:lineRule="auto"/>
      <w:ind w:left="0" w:firstLine="0"/>
      <w:textAlignment w:val="baseline"/>
      <w:outlineLvl w:val="5"/>
    </w:pPr>
    <w:rPr>
      <w:rFonts w:ascii="Times New Roman" w:eastAsia="Times New Roman" w:hAnsi="Times New Roman" w:cs="Times New Roman"/>
      <w:b/>
      <w:color w:val="000000"/>
      <w:lang w:eastAsia="ar-SA"/>
    </w:rPr>
  </w:style>
  <w:style w:type="paragraph" w:styleId="7">
    <w:name w:val="heading 7"/>
    <w:basedOn w:val="a"/>
    <w:next w:val="a"/>
    <w:link w:val="70"/>
    <w:qFormat/>
    <w:rsid w:val="00D23F77"/>
    <w:pPr>
      <w:keepNext/>
      <w:numPr>
        <w:ilvl w:val="6"/>
        <w:numId w:val="1"/>
      </w:numPr>
      <w:suppressAutoHyphens/>
      <w:overflowPunct w:val="0"/>
      <w:autoSpaceDE w:val="0"/>
      <w:spacing w:after="0" w:line="240" w:lineRule="auto"/>
      <w:ind w:left="0" w:firstLine="0"/>
      <w:textAlignment w:val="baseline"/>
      <w:outlineLvl w:val="6"/>
    </w:pPr>
    <w:rPr>
      <w:rFonts w:ascii="Times New Roman" w:eastAsia="Times New Roman" w:hAnsi="Times New Roman" w:cs="Times New Roman"/>
      <w:b/>
      <w:bCs/>
      <w:sz w:val="24"/>
      <w:szCs w:val="20"/>
      <w:lang w:eastAsia="ar-SA"/>
    </w:rPr>
  </w:style>
  <w:style w:type="paragraph" w:styleId="8">
    <w:name w:val="heading 8"/>
    <w:basedOn w:val="a"/>
    <w:next w:val="a"/>
    <w:link w:val="80"/>
    <w:qFormat/>
    <w:rsid w:val="00D23F77"/>
    <w:pPr>
      <w:numPr>
        <w:ilvl w:val="7"/>
        <w:numId w:val="1"/>
      </w:numPr>
      <w:suppressAutoHyphens/>
      <w:overflowPunct w:val="0"/>
      <w:autoSpaceDE w:val="0"/>
      <w:spacing w:before="240" w:after="60" w:line="240" w:lineRule="auto"/>
      <w:textAlignment w:val="baseline"/>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23F77"/>
    <w:rPr>
      <w:rFonts w:ascii="Times New Roman" w:eastAsia="Times New Roman" w:hAnsi="Times New Roman" w:cs="Times New Roman"/>
      <w:i/>
      <w:szCs w:val="20"/>
      <w:lang w:eastAsia="ar-SA"/>
    </w:rPr>
  </w:style>
  <w:style w:type="character" w:customStyle="1" w:styleId="50">
    <w:name w:val="Заголовок 5 Знак"/>
    <w:basedOn w:val="a0"/>
    <w:link w:val="5"/>
    <w:rsid w:val="00D23F77"/>
    <w:rPr>
      <w:rFonts w:ascii="Times New Roman" w:eastAsia="Times New Roman" w:hAnsi="Times New Roman" w:cs="Times New Roman"/>
      <w:b/>
      <w:sz w:val="18"/>
      <w:szCs w:val="20"/>
      <w:lang w:eastAsia="ar-SA"/>
    </w:rPr>
  </w:style>
  <w:style w:type="character" w:customStyle="1" w:styleId="60">
    <w:name w:val="Заголовок 6 Знак"/>
    <w:basedOn w:val="a0"/>
    <w:link w:val="6"/>
    <w:rsid w:val="00D23F77"/>
    <w:rPr>
      <w:rFonts w:ascii="Times New Roman" w:eastAsia="Times New Roman" w:hAnsi="Times New Roman" w:cs="Times New Roman"/>
      <w:b/>
      <w:color w:val="000000"/>
      <w:lang w:eastAsia="ar-SA"/>
    </w:rPr>
  </w:style>
  <w:style w:type="character" w:customStyle="1" w:styleId="70">
    <w:name w:val="Заголовок 7 Знак"/>
    <w:basedOn w:val="a0"/>
    <w:link w:val="7"/>
    <w:rsid w:val="00D23F77"/>
    <w:rPr>
      <w:rFonts w:ascii="Times New Roman" w:eastAsia="Times New Roman" w:hAnsi="Times New Roman" w:cs="Times New Roman"/>
      <w:b/>
      <w:bCs/>
      <w:sz w:val="24"/>
      <w:szCs w:val="20"/>
      <w:lang w:eastAsia="ar-SA"/>
    </w:rPr>
  </w:style>
  <w:style w:type="character" w:customStyle="1" w:styleId="80">
    <w:name w:val="Заголовок 8 Знак"/>
    <w:basedOn w:val="a0"/>
    <w:link w:val="8"/>
    <w:rsid w:val="00D23F77"/>
    <w:rPr>
      <w:rFonts w:ascii="Times New Roman" w:eastAsia="Times New Roman" w:hAnsi="Times New Roman" w:cs="Times New Roman"/>
      <w:i/>
      <w:iCs/>
      <w:sz w:val="24"/>
      <w:szCs w:val="24"/>
      <w:lang w:eastAsia="ar-SA"/>
    </w:rPr>
  </w:style>
  <w:style w:type="paragraph" w:customStyle="1" w:styleId="19">
    <w:name w:val="Стиль19"/>
    <w:basedOn w:val="a"/>
    <w:link w:val="190"/>
    <w:qFormat/>
    <w:rsid w:val="00D23F77"/>
    <w:pPr>
      <w:numPr>
        <w:numId w:val="1"/>
      </w:numPr>
      <w:tabs>
        <w:tab w:val="left" w:pos="709"/>
      </w:tabs>
      <w:spacing w:after="0" w:line="360" w:lineRule="auto"/>
      <w:jc w:val="both"/>
    </w:pPr>
    <w:rPr>
      <w:rFonts w:ascii="Times New Roman" w:eastAsia="Calibri" w:hAnsi="Times New Roman" w:cs="Times New Roman"/>
      <w:sz w:val="28"/>
      <w:szCs w:val="28"/>
    </w:rPr>
  </w:style>
  <w:style w:type="character" w:customStyle="1" w:styleId="190">
    <w:name w:val="Стиль19 Знак"/>
    <w:basedOn w:val="a0"/>
    <w:link w:val="19"/>
    <w:rsid w:val="00D23F77"/>
    <w:rPr>
      <w:rFonts w:ascii="Times New Roman" w:eastAsia="Calibri" w:hAnsi="Times New Roman" w:cs="Times New Roman"/>
      <w:sz w:val="28"/>
      <w:szCs w:val="28"/>
    </w:rPr>
  </w:style>
  <w:style w:type="paragraph" w:customStyle="1" w:styleId="2">
    <w:name w:val="Стиль2"/>
    <w:basedOn w:val="a"/>
    <w:link w:val="20"/>
    <w:qFormat/>
    <w:rsid w:val="00D23F77"/>
    <w:pPr>
      <w:spacing w:after="0" w:line="240" w:lineRule="auto"/>
      <w:ind w:firstLine="567"/>
      <w:jc w:val="both"/>
    </w:pPr>
    <w:rPr>
      <w:rFonts w:ascii="Times New Roman" w:eastAsia="Times New Roman" w:hAnsi="Times New Roman" w:cs="Times New Roman"/>
      <w:sz w:val="28"/>
      <w:szCs w:val="28"/>
    </w:rPr>
  </w:style>
  <w:style w:type="character" w:customStyle="1" w:styleId="20">
    <w:name w:val="Стиль2 Знак"/>
    <w:basedOn w:val="a0"/>
    <w:link w:val="2"/>
    <w:rsid w:val="00D23F77"/>
    <w:rPr>
      <w:rFonts w:ascii="Times New Roman" w:eastAsia="Times New Roman" w:hAnsi="Times New Roman" w:cs="Times New Roman"/>
      <w:sz w:val="28"/>
      <w:szCs w:val="28"/>
    </w:rPr>
  </w:style>
  <w:style w:type="paragraph" w:customStyle="1" w:styleId="24">
    <w:name w:val="Стиль24"/>
    <w:basedOn w:val="a"/>
    <w:link w:val="240"/>
    <w:qFormat/>
    <w:rsid w:val="00D23F77"/>
    <w:pPr>
      <w:tabs>
        <w:tab w:val="left" w:pos="709"/>
        <w:tab w:val="num" w:pos="1134"/>
      </w:tabs>
      <w:spacing w:after="0" w:line="360" w:lineRule="auto"/>
      <w:ind w:left="1134" w:hanging="425"/>
      <w:jc w:val="both"/>
    </w:pPr>
    <w:rPr>
      <w:rFonts w:ascii="Times New Roman" w:eastAsia="Calibri" w:hAnsi="Times New Roman" w:cs="Times New Roman"/>
      <w:sz w:val="28"/>
      <w:szCs w:val="28"/>
    </w:rPr>
  </w:style>
  <w:style w:type="character" w:customStyle="1" w:styleId="240">
    <w:name w:val="Стиль24 Знак"/>
    <w:basedOn w:val="a0"/>
    <w:link w:val="24"/>
    <w:rsid w:val="00D23F77"/>
    <w:rPr>
      <w:rFonts w:ascii="Times New Roman" w:eastAsia="Calibri" w:hAnsi="Times New Roman" w:cs="Times New Roman"/>
      <w:sz w:val="28"/>
      <w:szCs w:val="28"/>
    </w:rPr>
  </w:style>
  <w:style w:type="paragraph" w:customStyle="1" w:styleId="51">
    <w:name w:val="Стиль5"/>
    <w:basedOn w:val="a"/>
    <w:link w:val="52"/>
    <w:qFormat/>
    <w:rsid w:val="00D23F77"/>
    <w:pPr>
      <w:widowControl w:val="0"/>
      <w:spacing w:after="0" w:line="360" w:lineRule="auto"/>
      <w:ind w:firstLine="567"/>
      <w:jc w:val="both"/>
    </w:pPr>
    <w:rPr>
      <w:rFonts w:ascii="Times New Roman" w:eastAsia="Times New Roman" w:hAnsi="Times New Roman" w:cs="Times New Roman"/>
      <w:bCs/>
      <w:sz w:val="28"/>
      <w:szCs w:val="28"/>
      <w:lang w:eastAsia="ru-RU"/>
    </w:rPr>
  </w:style>
  <w:style w:type="character" w:customStyle="1" w:styleId="52">
    <w:name w:val="Стиль5 Знак"/>
    <w:basedOn w:val="a0"/>
    <w:link w:val="51"/>
    <w:rsid w:val="00D23F77"/>
    <w:rPr>
      <w:rFonts w:ascii="Times New Roman" w:eastAsia="Times New Roman" w:hAnsi="Times New Roman" w:cs="Times New Roman"/>
      <w:bCs/>
      <w:sz w:val="28"/>
      <w:szCs w:val="28"/>
      <w:lang w:eastAsia="ru-RU"/>
    </w:rPr>
  </w:style>
  <w:style w:type="paragraph" w:styleId="a3">
    <w:name w:val="footnote text"/>
    <w:basedOn w:val="a"/>
    <w:link w:val="a4"/>
    <w:unhideWhenUsed/>
    <w:rsid w:val="00D23F77"/>
    <w:pPr>
      <w:spacing w:after="0" w:line="360" w:lineRule="auto"/>
      <w:ind w:firstLine="567"/>
      <w:jc w:val="center"/>
    </w:pPr>
    <w:rPr>
      <w:rFonts w:ascii="Times New Roman" w:eastAsia="Calibri" w:hAnsi="Times New Roman" w:cs="Times New Roman"/>
      <w:sz w:val="20"/>
      <w:szCs w:val="20"/>
    </w:rPr>
  </w:style>
  <w:style w:type="character" w:customStyle="1" w:styleId="a4">
    <w:name w:val="Текст сноски Знак"/>
    <w:basedOn w:val="a0"/>
    <w:link w:val="a3"/>
    <w:rsid w:val="00D23F77"/>
    <w:rPr>
      <w:rFonts w:ascii="Times New Roman" w:eastAsia="Calibri" w:hAnsi="Times New Roman" w:cs="Times New Roman"/>
      <w:sz w:val="20"/>
      <w:szCs w:val="20"/>
    </w:rPr>
  </w:style>
  <w:style w:type="character" w:customStyle="1" w:styleId="a5">
    <w:name w:val="Основной текст_"/>
    <w:link w:val="41"/>
    <w:rsid w:val="009F38E8"/>
    <w:rPr>
      <w:rFonts w:ascii="Times New Roman" w:eastAsia="Times New Roman" w:hAnsi="Times New Roman" w:cs="Times New Roman"/>
      <w:sz w:val="27"/>
      <w:szCs w:val="27"/>
      <w:shd w:val="clear" w:color="auto" w:fill="FFFFFF"/>
    </w:rPr>
  </w:style>
  <w:style w:type="character" w:customStyle="1" w:styleId="1">
    <w:name w:val="Основной текст1"/>
    <w:rsid w:val="009F38E8"/>
    <w:rPr>
      <w:rFonts w:ascii="Times New Roman" w:eastAsia="Times New Roman" w:hAnsi="Times New Roman" w:cs="Times New Roman"/>
      <w:b w:val="0"/>
      <w:bCs w:val="0"/>
      <w:i w:val="0"/>
      <w:iCs w:val="0"/>
      <w:smallCaps w:val="0"/>
      <w:strike w:val="0"/>
      <w:spacing w:val="0"/>
      <w:sz w:val="27"/>
      <w:szCs w:val="27"/>
    </w:rPr>
  </w:style>
  <w:style w:type="paragraph" w:customStyle="1" w:styleId="41">
    <w:name w:val="Основной текст4"/>
    <w:basedOn w:val="a"/>
    <w:link w:val="a5"/>
    <w:rsid w:val="009F38E8"/>
    <w:pPr>
      <w:shd w:val="clear" w:color="auto" w:fill="FFFFFF"/>
      <w:spacing w:after="0" w:line="0" w:lineRule="atLeast"/>
      <w:ind w:hanging="3680"/>
    </w:pPr>
    <w:rPr>
      <w:rFonts w:ascii="Times New Roman" w:eastAsia="Times New Roman" w:hAnsi="Times New Roman" w:cs="Times New Roman"/>
      <w:sz w:val="27"/>
      <w:szCs w:val="27"/>
    </w:rPr>
  </w:style>
  <w:style w:type="character" w:customStyle="1" w:styleId="21">
    <w:name w:val="Сноска (2)_"/>
    <w:link w:val="22"/>
    <w:rsid w:val="009F38E8"/>
    <w:rPr>
      <w:rFonts w:ascii="Times New Roman" w:eastAsia="Times New Roman" w:hAnsi="Times New Roman" w:cs="Times New Roman"/>
      <w:sz w:val="23"/>
      <w:szCs w:val="23"/>
      <w:shd w:val="clear" w:color="auto" w:fill="FFFFFF"/>
    </w:rPr>
  </w:style>
  <w:style w:type="character" w:customStyle="1" w:styleId="23">
    <w:name w:val="Основной текст2"/>
    <w:rsid w:val="009F38E8"/>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22">
    <w:name w:val="Сноска (2)"/>
    <w:basedOn w:val="a"/>
    <w:link w:val="21"/>
    <w:rsid w:val="009F38E8"/>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81">
    <w:name w:val="Основной текст (8)_"/>
    <w:link w:val="82"/>
    <w:rsid w:val="00E8395B"/>
    <w:rPr>
      <w:rFonts w:ascii="Times New Roman" w:eastAsia="Times New Roman" w:hAnsi="Times New Roman" w:cs="Times New Roman"/>
      <w:sz w:val="23"/>
      <w:szCs w:val="23"/>
      <w:shd w:val="clear" w:color="auto" w:fill="FFFFFF"/>
    </w:rPr>
  </w:style>
  <w:style w:type="paragraph" w:customStyle="1" w:styleId="82">
    <w:name w:val="Основной текст (8)"/>
    <w:basedOn w:val="a"/>
    <w:link w:val="81"/>
    <w:rsid w:val="00E8395B"/>
    <w:pPr>
      <w:shd w:val="clear" w:color="auto" w:fill="FFFFFF"/>
      <w:spacing w:after="1200" w:line="274" w:lineRule="exact"/>
      <w:ind w:hanging="1140"/>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MIIT</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glazov</dc:creator>
  <cp:keywords/>
  <dc:description/>
  <cp:lastModifiedBy>lototskaya</cp:lastModifiedBy>
  <cp:revision>4</cp:revision>
  <dcterms:created xsi:type="dcterms:W3CDTF">2013-01-30T05:17:00Z</dcterms:created>
  <dcterms:modified xsi:type="dcterms:W3CDTF">2013-06-18T07:40:00Z</dcterms:modified>
</cp:coreProperties>
</file>